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D525" w14:textId="52476296" w:rsidR="00F90A10" w:rsidRDefault="00B217D6">
      <w:pPr>
        <w:pStyle w:val="Title"/>
        <w:rPr>
          <w:lang w:eastAsia="zh-TW"/>
        </w:rPr>
      </w:pPr>
      <w:r>
        <w:rPr>
          <w:spacing w:val="-2"/>
          <w:lang w:eastAsia="zh-TW"/>
        </w:rPr>
        <w:t>賽事技術手冊</w:t>
      </w:r>
    </w:p>
    <w:p w14:paraId="72E8CD9F" w14:textId="77777777" w:rsidR="00F90A10" w:rsidRDefault="00F90A10">
      <w:pPr>
        <w:pStyle w:val="BodyText"/>
        <w:spacing w:before="48"/>
        <w:ind w:left="0"/>
        <w:rPr>
          <w:b/>
          <w:sz w:val="27"/>
          <w:lang w:eastAsia="zh-TW"/>
        </w:rPr>
      </w:pPr>
    </w:p>
    <w:p w14:paraId="68253D27" w14:textId="77777777" w:rsidR="00F90A10" w:rsidRDefault="00B217D6">
      <w:pPr>
        <w:pStyle w:val="Heading1"/>
        <w:rPr>
          <w:lang w:eastAsia="zh-TW"/>
        </w:rPr>
      </w:pPr>
      <w:r>
        <w:rPr>
          <w:lang w:eastAsia="zh-TW"/>
        </w:rPr>
        <w:t>一、 空間站環境說明</w:t>
      </w:r>
    </w:p>
    <w:p w14:paraId="77A7ECB0" w14:textId="77777777" w:rsidR="00F90A10" w:rsidRDefault="00F90A10">
      <w:pPr>
        <w:pStyle w:val="BodyText"/>
        <w:spacing w:before="19"/>
        <w:ind w:left="0"/>
        <w:rPr>
          <w:b/>
          <w:sz w:val="27"/>
          <w:lang w:eastAsia="zh-TW"/>
        </w:rPr>
      </w:pPr>
    </w:p>
    <w:p w14:paraId="00300EE2" w14:textId="77777777" w:rsidR="00F90A10" w:rsidRDefault="00B217D6">
      <w:pPr>
        <w:pStyle w:val="Heading2"/>
        <w:numPr>
          <w:ilvl w:val="0"/>
          <w:numId w:val="1"/>
        </w:numPr>
        <w:tabs>
          <w:tab w:val="left" w:pos="698"/>
        </w:tabs>
        <w:ind w:left="698" w:hanging="357"/>
      </w:pPr>
      <w:r>
        <w:rPr>
          <w:spacing w:val="-4"/>
        </w:rPr>
        <w:t>微重力環境</w:t>
      </w:r>
    </w:p>
    <w:p w14:paraId="4EB799CA" w14:textId="77777777" w:rsidR="00F90A10" w:rsidRDefault="00B217D6">
      <w:pPr>
        <w:pStyle w:val="BodyText"/>
        <w:spacing w:before="153"/>
        <w:ind w:left="581"/>
        <w:rPr>
          <w:lang w:eastAsia="zh-TW"/>
        </w:rPr>
      </w:pPr>
      <w:r>
        <w:rPr>
          <w:spacing w:val="-1"/>
          <w:lang w:eastAsia="zh-TW"/>
        </w:rPr>
        <w:t>空間站可提供長時間的微重力環境，微重力水準（殘餘微振動加速度）為</w:t>
      </w:r>
    </w:p>
    <w:p w14:paraId="7493C23B" w14:textId="77777777" w:rsidR="00F90A10" w:rsidRDefault="00B217D6">
      <w:pPr>
        <w:pStyle w:val="BodyText"/>
        <w:spacing w:before="161" w:line="360" w:lineRule="auto"/>
        <w:ind w:right="120"/>
        <w:rPr>
          <w:lang w:eastAsia="zh-TW"/>
        </w:rPr>
      </w:pPr>
      <w:r>
        <w:rPr>
          <w:spacing w:val="-2"/>
          <w:lang w:eastAsia="zh-TW"/>
        </w:rPr>
        <w:t>10</w:t>
      </w:r>
      <w:r>
        <w:rPr>
          <w:spacing w:val="-2"/>
          <w:position w:val="12"/>
          <w:sz w:val="12"/>
          <w:lang w:eastAsia="zh-TW"/>
        </w:rPr>
        <w:t>-3</w:t>
      </w:r>
      <w:r>
        <w:rPr>
          <w:spacing w:val="-2"/>
          <w:lang w:eastAsia="zh-TW"/>
        </w:rPr>
        <w:t>-10</w:t>
      </w:r>
      <w:r>
        <w:rPr>
          <w:spacing w:val="-2"/>
          <w:position w:val="12"/>
          <w:sz w:val="12"/>
          <w:lang w:eastAsia="zh-TW"/>
        </w:rPr>
        <w:t>-4g</w:t>
      </w:r>
      <w:r>
        <w:rPr>
          <w:spacing w:val="-2"/>
          <w:lang w:eastAsia="zh-TW"/>
        </w:rPr>
        <w:t xml:space="preserve">。 在該環境條件下，地面重力效應導致的流體（氣體、液體、熔體）中的浮力對流、重力沉降、液體壓力梯度等現象將基本消失，地面重力效應所掩蓋的一些次級效應凸顯，導致流體形態和物理（化學）過程等將會發生顯著變化，這將直接影響或改變流動和燃燒機制，也會影響到相關的材料（其中也包括生物材料）加工及製備過程。 此外，微重力還將對一些基礎物理的實驗條件產生直接影響，在此條件下能夠以更高的指標和精度開展實驗，可滿足對重要的基礎物理理論進行驗證。 各種生命體（包括人類）的生存和進化一直是在重力環境下實現的，微重力環境對生物體及其各層次的影響十分顯著。 由此可見，微重力環境是開展相關科學研究獨特而寶貴的資源。 </w:t>
      </w:r>
    </w:p>
    <w:p w14:paraId="638F5694" w14:textId="77777777" w:rsidR="00F90A10" w:rsidRDefault="00B217D6">
      <w:pPr>
        <w:pStyle w:val="Heading2"/>
        <w:numPr>
          <w:ilvl w:val="0"/>
          <w:numId w:val="1"/>
        </w:numPr>
        <w:tabs>
          <w:tab w:val="left" w:pos="698"/>
        </w:tabs>
        <w:spacing w:line="309" w:lineRule="exact"/>
        <w:ind w:left="698" w:hanging="357"/>
      </w:pPr>
      <w:r>
        <w:rPr>
          <w:spacing w:val="-4"/>
        </w:rPr>
        <w:t>軌道位置</w:t>
      </w:r>
    </w:p>
    <w:p w14:paraId="0CF9636E" w14:textId="77777777" w:rsidR="00F90A10" w:rsidRDefault="00B217D6">
      <w:pPr>
        <w:pStyle w:val="BodyText"/>
        <w:spacing w:before="161"/>
        <w:ind w:left="581"/>
        <w:jc w:val="both"/>
        <w:rPr>
          <w:lang w:eastAsia="zh-TW"/>
        </w:rPr>
      </w:pPr>
      <w:r>
        <w:rPr>
          <w:spacing w:val="-8"/>
          <w:lang w:eastAsia="zh-TW"/>
        </w:rPr>
        <w:t>空間站運行於傾角 41-42 度、軌道高度 340-450 千米的近圓低地球軌道，約</w:t>
      </w:r>
    </w:p>
    <w:p w14:paraId="56682982" w14:textId="77777777" w:rsidR="00F90A10" w:rsidRDefault="00B217D6">
      <w:pPr>
        <w:pStyle w:val="BodyText"/>
        <w:spacing w:before="153" w:line="360" w:lineRule="auto"/>
        <w:ind w:right="233"/>
        <w:jc w:val="both"/>
        <w:rPr>
          <w:lang w:eastAsia="zh-TW"/>
        </w:rPr>
      </w:pPr>
      <w:r>
        <w:rPr>
          <w:lang w:eastAsia="zh-TW"/>
        </w:rPr>
        <w:t>90 分鐘繞地球一圈。 空間站組合體採用近似三軸穩定對地指向。 空間站軌道完全脫離了地球大氣，處於地球電離層 F2 層，適於開展巡天類空間天文觀測和特定空間物理研究; 對地球觀測而言，空間站軌道覆蓋南北緯 42 度以內、地球人口居住 90%的區域，與一般地球遙感衛星採用的太陽同步軌道相比，空間站軌道的交點地方時在不斷變化，可實現對同一地區可變光照條件下的觀測; 由於軌道高度較低，相同對地觀測儀器的空間解析度較高。</w:t>
      </w:r>
    </w:p>
    <w:p w14:paraId="750D430E" w14:textId="77777777" w:rsidR="00F90A10" w:rsidRDefault="00B217D6">
      <w:pPr>
        <w:pStyle w:val="Heading2"/>
        <w:numPr>
          <w:ilvl w:val="0"/>
          <w:numId w:val="1"/>
        </w:numPr>
        <w:tabs>
          <w:tab w:val="left" w:pos="698"/>
        </w:tabs>
        <w:spacing w:before="5"/>
        <w:ind w:left="698" w:hanging="357"/>
        <w:jc w:val="both"/>
      </w:pPr>
      <w:r>
        <w:rPr>
          <w:spacing w:val="-4"/>
        </w:rPr>
        <w:t>輻射環境空間</w:t>
      </w:r>
    </w:p>
    <w:p w14:paraId="18D26055" w14:textId="77777777" w:rsidR="00F90A10" w:rsidRDefault="00B217D6">
      <w:pPr>
        <w:pStyle w:val="BodyText"/>
        <w:spacing w:before="154" w:line="360" w:lineRule="auto"/>
        <w:ind w:right="233" w:firstLine="480"/>
        <w:jc w:val="both"/>
        <w:rPr>
          <w:lang w:eastAsia="zh-TW"/>
        </w:rPr>
      </w:pPr>
      <w:r>
        <w:rPr>
          <w:spacing w:val="-6"/>
          <w:lang w:eastAsia="zh-TW"/>
        </w:rPr>
        <w:t xml:space="preserve">輻射來源於銀河宇宙射線和太陽宇宙射線（包括太陽質子事件）。 宇宙射線的主要成分是質子（約佔 90%）、氦核即 </w:t>
      </w:r>
      <w:r>
        <w:rPr>
          <w:spacing w:val="-6"/>
        </w:rPr>
        <w:t>α</w:t>
      </w:r>
      <w:r>
        <w:rPr>
          <w:spacing w:val="-6"/>
          <w:lang w:eastAsia="zh-TW"/>
        </w:rPr>
        <w:t xml:space="preserve"> 粒子（約 9%）以及電子、各種重離子、伽馬射線等（約 1%）。 宇宙射線能量範圍很寬，能譜呈冪律下降形式（能量越高流量越低）。 在緯度±43°範圍低地球軌道運行的空間站由於地球磁場的作用，使低能帶電粒子向極區偏轉，只有較高能量的帶電粒子（約 1GeV/n 以上）才能到達，降低了總輻射劑量; 空間站穿過地球內輻射帶的南大西洋異常區下部，輻射帶捕</w:t>
      </w:r>
    </w:p>
    <w:p w14:paraId="59C65440" w14:textId="77777777" w:rsidR="00F90A10" w:rsidRDefault="00F90A10">
      <w:pPr>
        <w:pStyle w:val="BodyText"/>
        <w:spacing w:line="360" w:lineRule="auto"/>
        <w:jc w:val="both"/>
        <w:rPr>
          <w:lang w:eastAsia="zh-TW"/>
        </w:rPr>
        <w:sectPr w:rsidR="00F90A10">
          <w:footerReference w:type="default" r:id="rId7"/>
          <w:type w:val="continuous"/>
          <w:pgSz w:w="11910" w:h="16840"/>
          <w:pgMar w:top="1500" w:right="1559" w:bottom="1280" w:left="1700" w:header="0" w:footer="1099" w:gutter="0"/>
          <w:pgNumType w:start="1"/>
          <w:cols w:space="720"/>
        </w:sectPr>
      </w:pPr>
    </w:p>
    <w:p w14:paraId="289AFE02" w14:textId="77777777" w:rsidR="00F90A10" w:rsidRDefault="00B217D6">
      <w:pPr>
        <w:pStyle w:val="BodyText"/>
        <w:spacing w:before="41" w:line="360" w:lineRule="auto"/>
        <w:ind w:right="120"/>
        <w:rPr>
          <w:lang w:eastAsia="zh-TW"/>
        </w:rPr>
      </w:pPr>
      <w:r>
        <w:rPr>
          <w:spacing w:val="-2"/>
          <w:lang w:eastAsia="zh-TW"/>
        </w:rPr>
        <w:lastRenderedPageBreak/>
        <w:t>獲的帶電粒子對空間站有顯著影響，但總的輻射劑量不高; 太陽質子事件具有一定隨機性，會在短時間內顯著增加輻射劑量。 由於艙體結構有一定的防護作用，艙內輻射計量比艙外低 1-2 個數量級，但高能粒子仍能穿透艙壁。 空間輻射環境對航太器、太空人和設備具有一定危害，但宇宙射線複雜的成份和能譜形式是地面無法類比的，是開展輻射生物學等研究的有利條件，也是開展高能天文觀測和粒子天體物理研究的必要條件。</w:t>
      </w:r>
    </w:p>
    <w:p w14:paraId="5D0F55A3" w14:textId="77777777" w:rsidR="00F90A10" w:rsidRDefault="00B217D6">
      <w:pPr>
        <w:pStyle w:val="Heading2"/>
        <w:numPr>
          <w:ilvl w:val="0"/>
          <w:numId w:val="1"/>
        </w:numPr>
        <w:tabs>
          <w:tab w:val="left" w:pos="698"/>
        </w:tabs>
        <w:spacing w:line="310" w:lineRule="exact"/>
        <w:ind w:left="698" w:hanging="357"/>
      </w:pPr>
      <w:r>
        <w:rPr>
          <w:spacing w:val="-4"/>
        </w:rPr>
        <w:t>艙外極端環境</w:t>
      </w:r>
    </w:p>
    <w:p w14:paraId="30552FEC" w14:textId="77777777" w:rsidR="00F90A10" w:rsidRDefault="00B217D6">
      <w:pPr>
        <w:pStyle w:val="BodyText"/>
        <w:spacing w:before="161" w:line="360" w:lineRule="auto"/>
        <w:ind w:right="233" w:firstLine="480"/>
        <w:jc w:val="both"/>
        <w:rPr>
          <w:lang w:eastAsia="zh-TW"/>
        </w:rPr>
      </w:pPr>
      <w:r>
        <w:rPr>
          <w:spacing w:val="-4"/>
          <w:lang w:eastAsia="zh-TW"/>
        </w:rPr>
        <w:t>空間站可利用艙外極端環境開展實驗，包括極熱和極冷迴圈、高真空、原子氧侵蝕、太陽紫外輻射和宇宙高能射線輻射等。 暴露於艙外的空間應用材料、電子器件，生物及組織的性能將受到外太空環境的顯著影響。 此特殊環境（及其複合環境）在地面上很難實現，這也說明瞭此試驗環境的獨特性。</w:t>
      </w:r>
    </w:p>
    <w:p w14:paraId="4F1C452E" w14:textId="77777777" w:rsidR="00F90A10" w:rsidRDefault="00B217D6">
      <w:pPr>
        <w:pStyle w:val="BodyText"/>
        <w:spacing w:line="362" w:lineRule="auto"/>
        <w:ind w:right="234" w:firstLine="480"/>
        <w:jc w:val="both"/>
        <w:rPr>
          <w:lang w:eastAsia="zh-TW"/>
        </w:rPr>
      </w:pPr>
      <w:r>
        <w:rPr>
          <w:spacing w:val="-12"/>
          <w:lang w:eastAsia="zh-TW"/>
        </w:rPr>
        <w:t>空間站的獨特環境、十年以上的連續運行以及天地往返運輸支援和太空人參與等條件，為系統地開展空間生命科學與生物技術、空間基礎物理、微重力流體物理與燃燒科學、空間材料科學研究，以及重要的天文觀測、地球觀測、空間物理研究、新技術試驗等提供了十分必要的條件。</w:t>
      </w:r>
    </w:p>
    <w:p w14:paraId="0A96C464" w14:textId="77777777" w:rsidR="00F90A10" w:rsidRDefault="00B217D6">
      <w:pPr>
        <w:pStyle w:val="Heading1"/>
        <w:spacing w:before="205"/>
        <w:rPr>
          <w:lang w:eastAsia="zh-TW"/>
        </w:rPr>
      </w:pPr>
      <w:r>
        <w:rPr>
          <w:spacing w:val="-1"/>
          <w:lang w:eastAsia="zh-TW"/>
        </w:rPr>
        <w:t>二、載荷建議的環境約束條件</w:t>
      </w:r>
    </w:p>
    <w:p w14:paraId="54F8D92A" w14:textId="77777777" w:rsidR="00F90A10" w:rsidRDefault="00F90A10">
      <w:pPr>
        <w:pStyle w:val="BodyText"/>
        <w:spacing w:before="18"/>
        <w:ind w:left="0"/>
        <w:rPr>
          <w:b/>
          <w:sz w:val="27"/>
          <w:lang w:eastAsia="zh-TW"/>
        </w:rPr>
      </w:pPr>
    </w:p>
    <w:p w14:paraId="69AFF9DF" w14:textId="77777777" w:rsidR="00F90A10" w:rsidRDefault="00B217D6">
      <w:pPr>
        <w:pStyle w:val="BodyText"/>
        <w:spacing w:line="360" w:lineRule="auto"/>
        <w:ind w:right="233" w:firstLine="480"/>
        <w:jc w:val="both"/>
      </w:pPr>
      <w:r>
        <w:rPr>
          <w:spacing w:val="-7"/>
          <w:lang w:eastAsia="zh-TW"/>
        </w:rPr>
        <w:t xml:space="preserve">空間站實驗設計既需要考慮到實驗所處環境的影響，也受到所搭載的實驗平臺的帶載能力限制。 團隊可參照：1）空間站密封艙內載荷; 2）空間站艙外載荷，兩個實驗場景設計相應的空間科學實驗。 </w:t>
      </w:r>
      <w:r>
        <w:rPr>
          <w:spacing w:val="-7"/>
        </w:rPr>
        <w:t>具體環境約束條件如下：</w:t>
      </w:r>
    </w:p>
    <w:p w14:paraId="1F11C325" w14:textId="77777777" w:rsidR="00F90A10" w:rsidRDefault="00B217D6">
      <w:pPr>
        <w:pStyle w:val="Heading2"/>
        <w:numPr>
          <w:ilvl w:val="1"/>
          <w:numId w:val="1"/>
        </w:numPr>
        <w:tabs>
          <w:tab w:val="left" w:pos="937"/>
        </w:tabs>
        <w:spacing w:line="311" w:lineRule="exact"/>
        <w:ind w:left="937" w:hanging="356"/>
        <w:jc w:val="both"/>
        <w:rPr>
          <w:lang w:eastAsia="zh-TW"/>
        </w:rPr>
      </w:pPr>
      <w:r>
        <w:rPr>
          <w:spacing w:val="-3"/>
          <w:lang w:eastAsia="zh-TW"/>
        </w:rPr>
        <w:t>空間站艙內載荷環境要素</w:t>
      </w:r>
    </w:p>
    <w:p w14:paraId="077821D6" w14:textId="77777777" w:rsidR="00F90A10" w:rsidRDefault="00B217D6">
      <w:pPr>
        <w:pStyle w:val="BodyText"/>
        <w:spacing w:before="154" w:line="362" w:lineRule="auto"/>
        <w:ind w:right="233" w:firstLine="480"/>
        <w:jc w:val="both"/>
        <w:rPr>
          <w:lang w:eastAsia="zh-TW"/>
        </w:rPr>
      </w:pPr>
      <w:r>
        <w:rPr>
          <w:spacing w:val="-6"/>
          <w:lang w:eastAsia="zh-TW"/>
        </w:rPr>
        <w:t>空間站艙內的大氣壓力為 81.3kPa-104.3kPa，溫度為 19-26°C，相對濕度約 30-70%，氣體成分與地面大氣相近，工作區的噪音水準不大於 65dB，艙內可放置獨立的載荷設備以開展空間科學研究。 團隊在制定空間科學實驗設計方案時請考慮以下約束條件：</w:t>
      </w:r>
    </w:p>
    <w:p w14:paraId="26B6B57B" w14:textId="77777777" w:rsidR="00F90A10" w:rsidRDefault="00B217D6">
      <w:pPr>
        <w:pStyle w:val="ListParagraph"/>
        <w:numPr>
          <w:ilvl w:val="2"/>
          <w:numId w:val="1"/>
        </w:numPr>
        <w:tabs>
          <w:tab w:val="left" w:pos="1368"/>
        </w:tabs>
        <w:spacing w:line="303" w:lineRule="exact"/>
        <w:ind w:left="1368" w:hanging="420"/>
        <w:rPr>
          <w:sz w:val="24"/>
          <w:lang w:eastAsia="zh-TW"/>
        </w:rPr>
      </w:pPr>
      <w:r>
        <w:rPr>
          <w:spacing w:val="-13"/>
          <w:sz w:val="24"/>
          <w:lang w:eastAsia="zh-TW"/>
        </w:rPr>
        <w:t>重量：單台工作載荷或者聯合工作載荷組的總重量盡量不超過 10kg。</w:t>
      </w:r>
    </w:p>
    <w:p w14:paraId="4A5D0600" w14:textId="77777777" w:rsidR="00F90A10" w:rsidRDefault="00B217D6">
      <w:pPr>
        <w:pStyle w:val="ListParagraph"/>
        <w:numPr>
          <w:ilvl w:val="2"/>
          <w:numId w:val="1"/>
        </w:numPr>
        <w:tabs>
          <w:tab w:val="left" w:pos="1369"/>
        </w:tabs>
        <w:spacing w:before="153" w:line="362" w:lineRule="auto"/>
        <w:ind w:right="237"/>
        <w:rPr>
          <w:sz w:val="24"/>
          <w:lang w:eastAsia="zh-TW"/>
        </w:rPr>
      </w:pPr>
      <w:r>
        <w:rPr>
          <w:spacing w:val="-15"/>
          <w:sz w:val="24"/>
          <w:lang w:eastAsia="zh-TW"/>
        </w:rPr>
        <w:t>體積：載荷體積的約束條件隨安裝位置的不同而變化，在此不做特殊規定。</w:t>
      </w:r>
    </w:p>
    <w:p w14:paraId="6DBC116D" w14:textId="77777777" w:rsidR="00F90A10" w:rsidRDefault="00B217D6">
      <w:pPr>
        <w:pStyle w:val="ListParagraph"/>
        <w:numPr>
          <w:ilvl w:val="2"/>
          <w:numId w:val="1"/>
        </w:numPr>
        <w:tabs>
          <w:tab w:val="left" w:pos="1368"/>
        </w:tabs>
        <w:spacing w:line="308" w:lineRule="exact"/>
        <w:ind w:left="1368" w:hanging="420"/>
        <w:rPr>
          <w:sz w:val="24"/>
          <w:lang w:eastAsia="zh-TW"/>
        </w:rPr>
      </w:pPr>
      <w:r>
        <w:rPr>
          <w:spacing w:val="-4"/>
          <w:sz w:val="24"/>
          <w:lang w:eastAsia="zh-TW"/>
        </w:rPr>
        <w:t>功率：載荷工作功率應盡可能控制在 20W 以內。</w:t>
      </w:r>
    </w:p>
    <w:p w14:paraId="62F58439" w14:textId="77777777" w:rsidR="00F90A10" w:rsidRDefault="00F90A10">
      <w:pPr>
        <w:pStyle w:val="ListParagraph"/>
        <w:spacing w:line="308" w:lineRule="exact"/>
        <w:rPr>
          <w:sz w:val="24"/>
          <w:lang w:eastAsia="zh-TW"/>
        </w:rPr>
        <w:sectPr w:rsidR="00F90A10">
          <w:pgSz w:w="11910" w:h="16840"/>
          <w:pgMar w:top="1460" w:right="1559" w:bottom="1280" w:left="1700" w:header="0" w:footer="1099" w:gutter="0"/>
          <w:cols w:space="720"/>
        </w:sectPr>
      </w:pPr>
    </w:p>
    <w:p w14:paraId="7FDE61D5" w14:textId="77777777" w:rsidR="00F90A10" w:rsidRDefault="00B217D6">
      <w:pPr>
        <w:pStyle w:val="ListParagraph"/>
        <w:numPr>
          <w:ilvl w:val="2"/>
          <w:numId w:val="1"/>
        </w:numPr>
        <w:tabs>
          <w:tab w:val="left" w:pos="1369"/>
        </w:tabs>
        <w:spacing w:before="41" w:line="360" w:lineRule="auto"/>
        <w:ind w:right="237"/>
        <w:jc w:val="both"/>
        <w:rPr>
          <w:sz w:val="24"/>
          <w:lang w:eastAsia="zh-TW"/>
        </w:rPr>
      </w:pPr>
      <w:r>
        <w:rPr>
          <w:spacing w:val="-12"/>
          <w:sz w:val="24"/>
          <w:lang w:eastAsia="zh-TW"/>
        </w:rPr>
        <w:lastRenderedPageBreak/>
        <w:t>全自動化或半自動化能力：實驗設備需盡量具有全自動化能力，即設備可在無人協助或參與的情況下自行完成實驗目標。 如果必須人員協助，需將工作量降至最低。</w:t>
      </w:r>
    </w:p>
    <w:p w14:paraId="115C347F" w14:textId="77777777" w:rsidR="00F90A10" w:rsidRDefault="00B217D6">
      <w:pPr>
        <w:pStyle w:val="ListParagraph"/>
        <w:numPr>
          <w:ilvl w:val="2"/>
          <w:numId w:val="1"/>
        </w:numPr>
        <w:tabs>
          <w:tab w:val="left" w:pos="1368"/>
        </w:tabs>
        <w:spacing w:line="311" w:lineRule="exact"/>
        <w:ind w:left="1368" w:hanging="420"/>
        <w:jc w:val="both"/>
        <w:rPr>
          <w:sz w:val="24"/>
          <w:lang w:eastAsia="zh-TW"/>
        </w:rPr>
      </w:pPr>
      <w:r>
        <w:rPr>
          <w:spacing w:val="-14"/>
          <w:sz w:val="24"/>
          <w:lang w:eastAsia="zh-TW"/>
        </w:rPr>
        <w:t>安全性：實驗設備需確保無任何液體洩露，無任何有害氣體的釋放。</w:t>
      </w:r>
    </w:p>
    <w:p w14:paraId="1956B964" w14:textId="77777777" w:rsidR="00F90A10" w:rsidRDefault="00B217D6">
      <w:pPr>
        <w:pStyle w:val="Heading2"/>
        <w:numPr>
          <w:ilvl w:val="1"/>
          <w:numId w:val="1"/>
        </w:numPr>
        <w:tabs>
          <w:tab w:val="left" w:pos="698"/>
        </w:tabs>
        <w:spacing w:before="161"/>
        <w:ind w:left="698" w:hanging="357"/>
        <w:jc w:val="left"/>
        <w:rPr>
          <w:lang w:eastAsia="zh-TW"/>
        </w:rPr>
      </w:pPr>
      <w:r>
        <w:rPr>
          <w:spacing w:val="-3"/>
          <w:lang w:eastAsia="zh-TW"/>
        </w:rPr>
        <w:t>空間站艙外載荷環境要素</w:t>
      </w:r>
    </w:p>
    <w:p w14:paraId="2F12EF38" w14:textId="77777777" w:rsidR="00F90A10" w:rsidRDefault="00B217D6">
      <w:pPr>
        <w:pStyle w:val="BodyText"/>
        <w:spacing w:before="153" w:line="360" w:lineRule="auto"/>
        <w:ind w:right="120" w:firstLine="480"/>
      </w:pPr>
      <w:r>
        <w:rPr>
          <w:lang w:eastAsia="zh-TW"/>
        </w:rPr>
        <w:t xml:space="preserve">空間站密封艙外設置有暴露實驗平臺和大型載荷掛點以及擴展實驗平臺掛點，支援開展空間天文、空間物理與空間環境、地球科學及應用、航天新技術、空間應用新技術等方向的研究。 </w:t>
      </w:r>
      <w:r>
        <w:t>載荷設備需滿足以下約束條件：</w:t>
      </w:r>
    </w:p>
    <w:p w14:paraId="04701289" w14:textId="77777777" w:rsidR="00F90A10" w:rsidRDefault="00B217D6">
      <w:pPr>
        <w:pStyle w:val="ListParagraph"/>
        <w:numPr>
          <w:ilvl w:val="2"/>
          <w:numId w:val="1"/>
        </w:numPr>
        <w:tabs>
          <w:tab w:val="left" w:pos="1368"/>
        </w:tabs>
        <w:spacing w:line="311" w:lineRule="exact"/>
        <w:ind w:left="1368" w:hanging="420"/>
        <w:rPr>
          <w:sz w:val="24"/>
          <w:lang w:eastAsia="zh-TW"/>
        </w:rPr>
      </w:pPr>
      <w:r>
        <w:rPr>
          <w:spacing w:val="-13"/>
          <w:sz w:val="24"/>
          <w:lang w:eastAsia="zh-TW"/>
        </w:rPr>
        <w:t>重量：單台工作載荷或者聯合工作載荷組的總重量盡量不超過 10kg。</w:t>
      </w:r>
    </w:p>
    <w:p w14:paraId="5A83C76B" w14:textId="77777777" w:rsidR="00F90A10" w:rsidRDefault="00B217D6">
      <w:pPr>
        <w:pStyle w:val="ListParagraph"/>
        <w:numPr>
          <w:ilvl w:val="2"/>
          <w:numId w:val="1"/>
        </w:numPr>
        <w:tabs>
          <w:tab w:val="left" w:pos="1369"/>
        </w:tabs>
        <w:spacing w:before="161" w:line="357" w:lineRule="auto"/>
        <w:ind w:right="236"/>
        <w:rPr>
          <w:sz w:val="24"/>
          <w:lang w:eastAsia="zh-TW"/>
        </w:rPr>
      </w:pPr>
      <w:r>
        <w:rPr>
          <w:spacing w:val="-15"/>
          <w:sz w:val="24"/>
          <w:lang w:eastAsia="zh-TW"/>
        </w:rPr>
        <w:t>體積：載荷體積的約束條件隨安裝位置的不同而變化，在此不做特殊規定。</w:t>
      </w:r>
    </w:p>
    <w:p w14:paraId="0C862FD0" w14:textId="77777777" w:rsidR="00F90A10" w:rsidRDefault="00B217D6">
      <w:pPr>
        <w:pStyle w:val="ListParagraph"/>
        <w:numPr>
          <w:ilvl w:val="2"/>
          <w:numId w:val="1"/>
        </w:numPr>
        <w:tabs>
          <w:tab w:val="left" w:pos="1368"/>
        </w:tabs>
        <w:ind w:left="1368" w:hanging="420"/>
        <w:rPr>
          <w:sz w:val="24"/>
          <w:lang w:eastAsia="zh-TW"/>
        </w:rPr>
      </w:pPr>
      <w:r>
        <w:rPr>
          <w:spacing w:val="-4"/>
          <w:sz w:val="24"/>
          <w:lang w:eastAsia="zh-TW"/>
        </w:rPr>
        <w:t>功率：載荷工作功率應盡可能控制在 30W 以內。</w:t>
      </w:r>
    </w:p>
    <w:p w14:paraId="12E4ED2C" w14:textId="77777777" w:rsidR="00F90A10" w:rsidRDefault="00B217D6">
      <w:pPr>
        <w:pStyle w:val="ListParagraph"/>
        <w:numPr>
          <w:ilvl w:val="2"/>
          <w:numId w:val="1"/>
        </w:numPr>
        <w:tabs>
          <w:tab w:val="left" w:pos="1369"/>
        </w:tabs>
        <w:spacing w:before="161" w:line="357" w:lineRule="auto"/>
        <w:ind w:right="237"/>
        <w:rPr>
          <w:sz w:val="24"/>
          <w:lang w:eastAsia="zh-TW"/>
        </w:rPr>
      </w:pPr>
      <w:r>
        <w:rPr>
          <w:spacing w:val="-16"/>
          <w:sz w:val="24"/>
          <w:lang w:eastAsia="zh-TW"/>
        </w:rPr>
        <w:t>全自動化：實驗設備需盡量具有全自動化能力，即設備可在無人協助或參與的情況下自行完成實驗目標。</w:t>
      </w:r>
    </w:p>
    <w:p w14:paraId="736B63B5" w14:textId="40A9EF20" w:rsidR="00F90A10" w:rsidRDefault="00B217D6">
      <w:pPr>
        <w:pStyle w:val="ListParagraph"/>
        <w:numPr>
          <w:ilvl w:val="2"/>
          <w:numId w:val="1"/>
        </w:numPr>
        <w:tabs>
          <w:tab w:val="left" w:pos="1369"/>
        </w:tabs>
        <w:spacing w:before="8" w:line="357" w:lineRule="auto"/>
        <w:ind w:right="225"/>
        <w:rPr>
          <w:sz w:val="24"/>
          <w:lang w:eastAsia="zh-TW"/>
        </w:rPr>
      </w:pPr>
      <w:r>
        <w:rPr>
          <w:spacing w:val="-11"/>
          <w:sz w:val="24"/>
          <w:lang w:eastAsia="zh-TW"/>
        </w:rPr>
        <w:t>空間環境適應性：載荷設備需具備可在空間極端環境（需說明）下運行工作的能力。</w:t>
      </w:r>
    </w:p>
    <w:sectPr w:rsidR="00F90A10">
      <w:pgSz w:w="11910" w:h="16840"/>
      <w:pgMar w:top="1460" w:right="1559" w:bottom="1280" w:left="1700" w:header="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C60F" w14:textId="77777777" w:rsidR="00D60B38" w:rsidRDefault="00D60B38">
      <w:r>
        <w:separator/>
      </w:r>
    </w:p>
  </w:endnote>
  <w:endnote w:type="continuationSeparator" w:id="0">
    <w:p w14:paraId="22E326B7" w14:textId="77777777" w:rsidR="00D60B38" w:rsidRDefault="00D6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angSong">
    <w:altName w:val="FangSong"/>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B418" w14:textId="77777777" w:rsidR="00F90A10" w:rsidRDefault="00B217D6">
    <w:pPr>
      <w:pStyle w:val="BodyText"/>
      <w:spacing w:line="14" w:lineRule="auto"/>
      <w:ind w:left="0"/>
      <w:rPr>
        <w:sz w:val="20"/>
      </w:rPr>
    </w:pPr>
    <w:r>
      <w:rPr>
        <w:noProof/>
        <w:sz w:val="20"/>
      </w:rPr>
      <mc:AlternateContent>
        <mc:Choice Requires="wps">
          <w:drawing>
            <wp:anchor distT="0" distB="0" distL="0" distR="0" simplePos="0" relativeHeight="487549952" behindDoc="1" locked="0" layoutInCell="1" allowOverlap="1" wp14:anchorId="22F8C49B" wp14:editId="3C9B3185">
              <wp:simplePos x="0" y="0"/>
              <wp:positionH relativeFrom="page">
                <wp:posOffset>3322954</wp:posOffset>
              </wp:positionH>
              <wp:positionV relativeFrom="page">
                <wp:posOffset>9854331</wp:posOffset>
              </wp:positionV>
              <wp:extent cx="892810"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810" cy="158750"/>
                      </a:xfrm>
                      <a:prstGeom prst="rect">
                        <a:avLst/>
                      </a:prstGeom>
                    </wps:spPr>
                    <wps:txbx>
                      <w:txbxContent>
                        <w:p w14:paraId="28C79289" w14:textId="77777777" w:rsidR="00F90A10" w:rsidRDefault="00B217D6">
                          <w:pPr>
                            <w:spacing w:line="250" w:lineRule="exact"/>
                            <w:ind w:left="20"/>
                            <w:rPr>
                              <w:sz w:val="21"/>
                            </w:rPr>
                          </w:pPr>
                          <w:r>
                            <w:rPr>
                              <w:sz w:val="21"/>
                            </w:rPr>
                            <w:t>第</w:t>
                          </w:r>
                          <w:r>
                            <w:rPr>
                              <w:sz w:val="21"/>
                            </w:rPr>
                            <w:fldChar w:fldCharType="begin"/>
                          </w:r>
                          <w:r>
                            <w:rPr>
                              <w:sz w:val="21"/>
                            </w:rPr>
                            <w:instrText xml:space="preserve"> PAGE </w:instrText>
                          </w:r>
                          <w:r>
                            <w:rPr>
                              <w:sz w:val="21"/>
                            </w:rPr>
                            <w:fldChar w:fldCharType="separate"/>
                          </w:r>
                          <w:r>
                            <w:rPr>
                              <w:sz w:val="21"/>
                            </w:rPr>
                            <w:t>1</w:t>
                          </w:r>
                          <w:r>
                            <w:rPr>
                              <w:sz w:val="21"/>
                            </w:rPr>
                            <w:fldChar w:fldCharType="end"/>
                          </w:r>
                          <w:r>
                            <w:rPr>
                              <w:spacing w:val="-13"/>
                              <w:sz w:val="21"/>
                            </w:rPr>
                            <w:t xml:space="preserve">頁，共 </w:t>
                          </w:r>
                          <w:r>
                            <w:rPr>
                              <w:sz w:val="21"/>
                            </w:rPr>
                            <w:fldChar w:fldCharType="begin"/>
                          </w:r>
                          <w:r>
                            <w:rPr>
                              <w:sz w:val="21"/>
                            </w:rPr>
                            <w:instrText xml:space="preserve"> NUMPAGES </w:instrText>
                          </w:r>
                          <w:r>
                            <w:rPr>
                              <w:sz w:val="21"/>
                            </w:rPr>
                            <w:fldChar w:fldCharType="separate"/>
                          </w:r>
                          <w:r>
                            <w:rPr>
                              <w:sz w:val="21"/>
                            </w:rPr>
                            <w:t>3</w:t>
                          </w:r>
                          <w:r>
                            <w:rPr>
                              <w:sz w:val="21"/>
                            </w:rPr>
                            <w:fldChar w:fldCharType="end"/>
                          </w:r>
                          <w:r>
                            <w:rPr>
                              <w:spacing w:val="-32"/>
                              <w:sz w:val="21"/>
                            </w:rPr>
                            <w:t xml:space="preserve"> 頁</w:t>
                          </w:r>
                        </w:p>
                      </w:txbxContent>
                    </wps:txbx>
                    <wps:bodyPr wrap="square" lIns="0" tIns="0" rIns="0" bIns="0" rtlCol="0">
                      <a:noAutofit/>
                    </wps:bodyPr>
                  </wps:wsp>
                </a:graphicData>
              </a:graphic>
            </wp:anchor>
          </w:drawing>
        </mc:Choice>
        <mc:Fallback>
          <w:pict>
            <v:shapetype w14:anchorId="22F8C49B" id="_x0000_t202" coordsize="21600,21600" o:spt="202" path="m,l,21600r21600,l21600,xe">
              <v:stroke joinstyle="miter"/>
              <v:path gradientshapeok="t" o:connecttype="rect"/>
            </v:shapetype>
            <v:shape id="Textbox 1" o:spid="_x0000_s1026" type="#_x0000_t202" style="position:absolute;margin-left:261.65pt;margin-top:775.95pt;width:70.3pt;height:12.5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" filled="f" stroked="f">
              <v:textbox inset="0,0,0,0">
                <w:txbxContent>
                  <w:p w14:paraId="28C79289" w14:textId="77777777" w:rsidR="00F90A10" w:rsidRDefault="00B217D6">
                    <w:pPr>
                      <w:spacing w:line="250" w:lineRule="exact"/>
                      <w:ind w:left="20"/>
                      <w:rPr>
                        <w:sz w:val="21"/>
                      </w:rPr>
                    </w:pPr>
                    <w:r>
                      <w:rPr>
                        <w:sz w:val="21"/>
                      </w:rPr>
                      <w:t>第</w:t>
                    </w:r>
                    <w:r>
                      <w:rPr>
                        <w:sz w:val="21"/>
                      </w:rPr>
                      <w:fldChar w:fldCharType="begin"/>
                    </w:r>
                    <w:r>
                      <w:rPr>
                        <w:sz w:val="21"/>
                      </w:rPr>
                      <w:instrText xml:space="preserve"> PAGE </w:instrText>
                    </w:r>
                    <w:r>
                      <w:rPr>
                        <w:sz w:val="21"/>
                      </w:rPr>
                      <w:fldChar w:fldCharType="separate"/>
                    </w:r>
                    <w:r>
                      <w:rPr>
                        <w:sz w:val="21"/>
                      </w:rPr>
                      <w:t>1</w:t>
                    </w:r>
                    <w:r>
                      <w:rPr>
                        <w:sz w:val="21"/>
                      </w:rPr>
                      <w:fldChar w:fldCharType="end"/>
                    </w:r>
                    <w:r>
                      <w:rPr>
                        <w:spacing w:val="-13"/>
                        <w:sz w:val="21"/>
                      </w:rPr>
                      <w:t xml:space="preserve">頁，共 </w:t>
                    </w:r>
                    <w:r>
                      <w:rPr>
                        <w:sz w:val="21"/>
                      </w:rPr>
                      <w:fldChar w:fldCharType="begin"/>
                    </w:r>
                    <w:r>
                      <w:rPr>
                        <w:sz w:val="21"/>
                      </w:rPr>
                      <w:instrText xml:space="preserve"> NUMPAGES </w:instrText>
                    </w:r>
                    <w:r>
                      <w:rPr>
                        <w:sz w:val="21"/>
                      </w:rPr>
                      <w:fldChar w:fldCharType="separate"/>
                    </w:r>
                    <w:r>
                      <w:rPr>
                        <w:sz w:val="21"/>
                      </w:rPr>
                      <w:t>3</w:t>
                    </w:r>
                    <w:r>
                      <w:rPr>
                        <w:sz w:val="21"/>
                      </w:rPr>
                      <w:fldChar w:fldCharType="end"/>
                    </w:r>
                    <w:r>
                      <w:rPr>
                        <w:spacing w:val="-32"/>
                        <w:sz w:val="21"/>
                      </w:rPr>
                      <w:t xml:space="preserve"> 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FCFC" w14:textId="77777777" w:rsidR="00D60B38" w:rsidRDefault="00D60B38">
      <w:r>
        <w:separator/>
      </w:r>
    </w:p>
  </w:footnote>
  <w:footnote w:type="continuationSeparator" w:id="0">
    <w:p w14:paraId="4726B1D3" w14:textId="77777777" w:rsidR="00D60B38" w:rsidRDefault="00D60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3A37"/>
    <w:multiLevelType w:val="hybridMultilevel"/>
    <w:tmpl w:val="2C2258B8"/>
    <w:lvl w:ilvl="0" w:tplc="175EBA86">
      <w:start w:val="1"/>
      <w:numFmt w:val="decimal"/>
      <w:lvlText w:val="%1."/>
      <w:lvlJc w:val="left"/>
      <w:pPr>
        <w:ind w:left="701" w:hanging="360"/>
        <w:jc w:val="left"/>
      </w:pPr>
      <w:rPr>
        <w:rFonts w:ascii="FangSong" w:eastAsia="FangSong" w:hAnsi="FangSong" w:cs="FangSong" w:hint="default"/>
        <w:b/>
        <w:bCs/>
        <w:i w:val="0"/>
        <w:iCs w:val="0"/>
        <w:spacing w:val="0"/>
        <w:w w:val="99"/>
        <w:sz w:val="24"/>
        <w:szCs w:val="24"/>
        <w:lang w:val="en-US" w:eastAsia="zh-CN" w:bidi="ar-SA"/>
      </w:rPr>
    </w:lvl>
    <w:lvl w:ilvl="1" w:tplc="30B6217C">
      <w:start w:val="1"/>
      <w:numFmt w:val="decimal"/>
      <w:lvlText w:val="%2."/>
      <w:lvlJc w:val="left"/>
      <w:pPr>
        <w:ind w:left="941" w:hanging="360"/>
        <w:jc w:val="right"/>
      </w:pPr>
      <w:rPr>
        <w:rFonts w:ascii="FangSong" w:eastAsia="FangSong" w:hAnsi="FangSong" w:cs="FangSong" w:hint="default"/>
        <w:b/>
        <w:bCs/>
        <w:i w:val="0"/>
        <w:iCs w:val="0"/>
        <w:spacing w:val="-1"/>
        <w:w w:val="99"/>
        <w:sz w:val="24"/>
        <w:szCs w:val="24"/>
        <w:lang w:val="en-US" w:eastAsia="zh-CN" w:bidi="ar-SA"/>
      </w:rPr>
    </w:lvl>
    <w:lvl w:ilvl="2" w:tplc="FBB02DF0">
      <w:start w:val="1"/>
      <w:numFmt w:val="decimal"/>
      <w:lvlText w:val="%3)"/>
      <w:lvlJc w:val="left"/>
      <w:pPr>
        <w:ind w:left="1369" w:hanging="421"/>
        <w:jc w:val="left"/>
      </w:pPr>
      <w:rPr>
        <w:rFonts w:ascii="FangSong" w:eastAsia="FangSong" w:hAnsi="FangSong" w:cs="FangSong" w:hint="default"/>
        <w:b w:val="0"/>
        <w:bCs w:val="0"/>
        <w:i w:val="0"/>
        <w:iCs w:val="0"/>
        <w:spacing w:val="0"/>
        <w:w w:val="100"/>
        <w:sz w:val="24"/>
        <w:szCs w:val="24"/>
        <w:lang w:val="en-US" w:eastAsia="zh-CN" w:bidi="ar-SA"/>
      </w:rPr>
    </w:lvl>
    <w:lvl w:ilvl="3" w:tplc="9878A462">
      <w:numFmt w:val="bullet"/>
      <w:lvlText w:val="•"/>
      <w:lvlJc w:val="left"/>
      <w:pPr>
        <w:ind w:left="2270" w:hanging="421"/>
      </w:pPr>
      <w:rPr>
        <w:rFonts w:hint="default"/>
        <w:lang w:val="en-US" w:eastAsia="zh-CN" w:bidi="ar-SA"/>
      </w:rPr>
    </w:lvl>
    <w:lvl w:ilvl="4" w:tplc="BEDC8124">
      <w:numFmt w:val="bullet"/>
      <w:lvlText w:val="•"/>
      <w:lvlJc w:val="left"/>
      <w:pPr>
        <w:ind w:left="3180" w:hanging="421"/>
      </w:pPr>
      <w:rPr>
        <w:rFonts w:hint="default"/>
        <w:lang w:val="en-US" w:eastAsia="zh-CN" w:bidi="ar-SA"/>
      </w:rPr>
    </w:lvl>
    <w:lvl w:ilvl="5" w:tplc="CDE6ADA6">
      <w:numFmt w:val="bullet"/>
      <w:lvlText w:val="•"/>
      <w:lvlJc w:val="left"/>
      <w:pPr>
        <w:ind w:left="4091" w:hanging="421"/>
      </w:pPr>
      <w:rPr>
        <w:rFonts w:hint="default"/>
        <w:lang w:val="en-US" w:eastAsia="zh-CN" w:bidi="ar-SA"/>
      </w:rPr>
    </w:lvl>
    <w:lvl w:ilvl="6" w:tplc="5F1058AE">
      <w:numFmt w:val="bullet"/>
      <w:lvlText w:val="•"/>
      <w:lvlJc w:val="left"/>
      <w:pPr>
        <w:ind w:left="5001" w:hanging="421"/>
      </w:pPr>
      <w:rPr>
        <w:rFonts w:hint="default"/>
        <w:lang w:val="en-US" w:eastAsia="zh-CN" w:bidi="ar-SA"/>
      </w:rPr>
    </w:lvl>
    <w:lvl w:ilvl="7" w:tplc="7246872A">
      <w:numFmt w:val="bullet"/>
      <w:lvlText w:val="•"/>
      <w:lvlJc w:val="left"/>
      <w:pPr>
        <w:ind w:left="5912" w:hanging="421"/>
      </w:pPr>
      <w:rPr>
        <w:rFonts w:hint="default"/>
        <w:lang w:val="en-US" w:eastAsia="zh-CN" w:bidi="ar-SA"/>
      </w:rPr>
    </w:lvl>
    <w:lvl w:ilvl="8" w:tplc="F996A02E">
      <w:numFmt w:val="bullet"/>
      <w:lvlText w:val="•"/>
      <w:lvlJc w:val="left"/>
      <w:pPr>
        <w:ind w:left="6822" w:hanging="421"/>
      </w:pPr>
      <w:rPr>
        <w:rFonts w:hint="default"/>
        <w:lang w:val="en-US" w:eastAsia="zh-CN" w:bidi="ar-SA"/>
      </w:rPr>
    </w:lvl>
  </w:abstractNum>
  <w:num w:numId="1" w16cid:durableId="121662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10"/>
    <w:rsid w:val="00337FE3"/>
    <w:rsid w:val="00B21102"/>
    <w:rsid w:val="00B217D6"/>
    <w:rsid w:val="00D60B38"/>
    <w:rsid w:val="00F90A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ABA70"/>
  <w15:docId w15:val="{C8317212-9378-4A70-BB00-136E0C52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angSong" w:eastAsia="FangSong" w:hAnsi="FangSong" w:cs="FangSong"/>
      <w:lang w:eastAsia="zh-CN"/>
    </w:rPr>
  </w:style>
  <w:style w:type="paragraph" w:styleId="Heading1">
    <w:name w:val="heading 1"/>
    <w:basedOn w:val="Normal"/>
    <w:uiPriority w:val="9"/>
    <w:qFormat/>
    <w:pPr>
      <w:spacing w:before="1"/>
      <w:ind w:left="100"/>
      <w:outlineLvl w:val="0"/>
    </w:pPr>
    <w:rPr>
      <w:b/>
      <w:bCs/>
      <w:sz w:val="27"/>
      <w:szCs w:val="27"/>
    </w:rPr>
  </w:style>
  <w:style w:type="paragraph" w:styleId="Heading2">
    <w:name w:val="heading 2"/>
    <w:basedOn w:val="Normal"/>
    <w:uiPriority w:val="9"/>
    <w:unhideWhenUsed/>
    <w:qFormat/>
    <w:pPr>
      <w:ind w:left="698" w:hanging="35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5"/>
      <w:ind w:right="124"/>
      <w:jc w:val="center"/>
    </w:pPr>
    <w:rPr>
      <w:b/>
      <w:bCs/>
      <w:sz w:val="32"/>
      <w:szCs w:val="32"/>
    </w:rPr>
  </w:style>
  <w:style w:type="paragraph" w:styleId="ListParagraph">
    <w:name w:val="List Paragraph"/>
    <w:basedOn w:val="Normal"/>
    <w:uiPriority w:val="1"/>
    <w:qFormat/>
    <w:pPr>
      <w:ind w:left="698" w:hanging="42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211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1058</Characters>
  <Application>Microsoft Office Word</Application>
  <DocSecurity>0</DocSecurity>
  <Lines>42</Lines>
  <Paragraphs>30</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8615155921607</dc:creator>
  <cp:lastModifiedBy>Eden Lu</cp:lastModifiedBy>
  <cp:revision>1</cp:revision>
  <dcterms:created xsi:type="dcterms:W3CDTF">2025-09-02T17:04:00Z</dcterms:created>
  <dcterms:modified xsi:type="dcterms:W3CDTF">2025-09-02T17:09:00Z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2019</vt:lpwstr>
  </property>
  <property fmtid="{D5CDD505-2E9C-101B-9397-08002B2CF9AE}" pid="4" name="LastSaved">
    <vt:filetime>2025-09-02T00:00:00Z</vt:filetime>
  </property>
  <property fmtid="{D5CDD505-2E9C-101B-9397-08002B2CF9AE}" pid="5" name="Producer">
    <vt:lpwstr>Microsoft® Word 2019</vt:lpwstr>
  </property>
  <property fmtid="{D5CDD505-2E9C-101B-9397-08002B2CF9AE}" pid="6" name="GrammarlyDocumentId">
    <vt:lpwstr>bfebdb2f-f3d2-46c2-aa07-7cec5815cbfb</vt:lpwstr>
  </property>
</Properties>
</file>